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567"/>
      </w:pPr>
      <w:r>
        <w:rPr>
          <w:rFonts w:ascii="Arial" w:cs="Arial" w:eastAsia="Arial" w:hAnsi="Arial"/>
          <w:b/>
          <w:bCs/>
          <w:color w:val="C8A96E"/>
          <w:spacing w:val="80"/>
          <w:sz w:val="17"/>
          <w:szCs w:val="17"/>
        </w:rPr>
        <w:t xml:space="preserve">AI-SUPPORTED BLACK HAT — COMPETITIVE REVIEW TOOL</w:t>
      </w:r>
    </w:p>
    <w:p>
      <w:pPr>
        <w:spacing w:after="200" w:before="0"/>
      </w:pPr>
      <w:r>
        <w:rPr>
          <w:rFonts w:ascii="Arial" w:cs="Arial" w:eastAsia="Arial" w:hAnsi="Arial"/>
          <w:b/>
          <w:bCs/>
          <w:color w:val="0D1B2A"/>
          <w:sz w:val="32"/>
          <w:szCs w:val="32"/>
        </w:rPr>
        <w:t xml:space="preserve">Stage 3 — Organisational Reality Check</w:t>
      </w:r>
    </w:p>
    <w:p>
      <w:pPr>
        <w:pBdr>
          <w:bottom w:val="single" w:color="C8A96E" w:sz="8"/>
        </w:pBd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8"/>
          <w:szCs w:val="18"/>
        </w:rPr>
        <w:t xml:space="preserve">The AI will propose initial scores in the tool. Use this document to prepare your honest self-assessment before your session. The AI proposals are a starting point — you validate and amend every value.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70"/>
        <w:gridCol w:w="9468"/>
      </w:tblGrid>
      <w:tr>
        <w:tc>
          <w:tcPr>
            <w:tcW w:type="dxa" w:w="17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8A96E" w:val="clear"/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0"/>
                <w:szCs w:val="20"/>
              </w:rPr>
              <w:t xml:space="preserve"/>
            </w:r>
          </w:p>
        </w:tc>
        <w:tc>
          <w:tcPr>
            <w:tcW w:type="dxa" w:w="9468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BF7F0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7"/>
                <w:szCs w:val="17"/>
              </w:rPr>
              <w:t xml:space="preserve">Scoring scale: 1 — No credible capability  |  2 — Limited capability  |  3 — Adequate capability  |  4 — Strong capability  |  5 — Market-leading capability
Impact: High — material influence on outcome  |  Medium — influences competitiveness  |  Low — limited influence regardless of score
Rationale is mandatory where: score is 1 or 2 / impact is High / score is 4 or 5 with High impact.</w:t>
            </w:r>
          </w:p>
        </w:tc>
      </w:tr>
    </w:tbl>
    <w:p>
      <w:pPr>
        <w:spacing w:after="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1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Capability Assessment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Score each dimension using the 1-5 scale. Assign an impact rating. Be honest — an inflated self-assessment produces a flawed analysis.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52"/>
        <w:gridCol w:w="1418"/>
        <w:gridCol w:w="1418"/>
        <w:gridCol w:w="4251"/>
      </w:tblGrid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CAPABILITY AREA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SCORE (1-5)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IMPACT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RATIONALE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Delivery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Commercial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Relationships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Flexibility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Win Approach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Dynamic 1 (add from tool)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Dynamic 2 (add from tool)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  <w:tr>
        <w:tc>
          <w:tcPr>
            <w:tcW w:type="dxa" w:w="2552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18"/>
                <w:szCs w:val="18"/>
              </w:rPr>
              <w:t xml:space="preserve">Dynamic 3 (add from tool)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  <w:tc>
          <w:tcPr>
            <w:tcW w:type="dxa" w:w="141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2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A6070"/>
                <w:sz w:val="16"/>
                <w:szCs w:val="16"/>
              </w:rPr>
              <w:t xml:space="preserve">High / Medium / Low</w:t>
            </w:r>
          </w:p>
        </w:tc>
        <w:tc>
          <w:tcPr>
            <w:tcW w:type="dxa" w:w="4251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2"/>
                <w:szCs w:val="22"/>
              </w:rPr>
              <w:t xml:space="preserve"> </w:t>
            </w:r>
          </w:p>
        </w:tc>
      </w:tr>
    </w:tbl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2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Key Insights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The tool will identify these from your score and impact combinations. Note your own view here first — compare it with the AI's assessment in the tool.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CRITICAL RISK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The lowest-scoring, highest-impact weakness. State it plainly.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KEY STRENGTH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The highest-scoring, highest-impact advantage. This should feature prominently in the win strategy.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3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Integrated Assessment — Your Initial View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The tool will generate a cross-referenced comparison of self-assessment against competitor assessments from Stage 2. Record your initial view here before the AI generates its assessment.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WHERE DO WE SIT VS COMPETITORS?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Where are we stronger? Where are we weaker? Where is the position genuinely contested?</w:t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8"/>
          <w:szCs w:val="28"/>
        </w:rPr>
        <w:t xml:space="preserve"> </w:t>
      </w:r>
    </w:p>
    <w:p>
      <w:pPr>
        <w:spacing w:after="1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pBdr>
          <w:bottom w:val="single" w:color="D9DDE2" w:sz="4"/>
        </w:pBdr>
        <w:spacing w:after="200" w:before="2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p>
      <w:pPr>
        <w:spacing w:after="40" w:before="180"/>
      </w:pPr>
      <w:r>
        <w:rPr>
          <w:rFonts w:ascii="Arial" w:cs="Arial" w:eastAsia="Arial" w:hAnsi="Arial"/>
          <w:b/>
          <w:bCs/>
          <w:color w:val="C8A96E"/>
          <w:spacing w:val="100"/>
          <w:sz w:val="16"/>
          <w:szCs w:val="16"/>
        </w:rPr>
        <w:t xml:space="preserve">SECTION 4 OF 4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i w:val="false"/>
          <w:iCs w:val="false"/>
          <w:color w:val="0D1B2A"/>
          <w:sz w:val="28"/>
          <w:szCs w:val="28"/>
        </w:rPr>
        <w:t xml:space="preserve">CVP Consistency — Pre-Check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A6070"/>
          <w:sz w:val="17"/>
          <w:szCs w:val="17"/>
        </w:rPr>
        <w:t xml:space="preserve">The tool will formally cross-reference your Stage 2 CVP against these scores. Before that check, identify any areas where you believe there may be a gap between what you have claimed and what your scores indicate you can deliver.</w:t>
      </w:r>
    </w:p>
    <w:p>
      <w:pPr>
        <w:spacing w:after="80" w:before="8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35"/>
        <w:gridCol w:w="2268"/>
        <w:gridCol w:w="4535"/>
      </w:tblGrid>
      <w:tr>
        <w:tc>
          <w:tcPr>
            <w:tcW w:type="dxa" w:w="28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CVP CLAIM</w:t>
            </w:r>
          </w:p>
        </w:tc>
        <w:tc>
          <w:tcPr>
            <w:tcW w:type="dxa" w:w="226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RELATED DIMENSION</w:t>
            </w:r>
          </w:p>
        </w:tc>
        <w:tc>
          <w:tcPr>
            <w:tcW w:type="dxa" w:w="45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0D1B2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7"/>
                <w:szCs w:val="17"/>
              </w:rPr>
              <w:t xml:space="preserve">POTENTIAL GAP</w:t>
            </w:r>
          </w:p>
        </w:tc>
      </w:tr>
      <w:tr>
        <w:tc>
          <w:tcPr>
            <w:tcW w:type="dxa" w:w="28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  <w:tc>
          <w:tcPr>
            <w:tcW w:type="dxa" w:w="226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  <w:tc>
          <w:tcPr>
            <w:tcW w:type="dxa" w:w="45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</w:tr>
      <w:tr>
        <w:tc>
          <w:tcPr>
            <w:tcW w:type="dxa" w:w="28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  <w:tc>
          <w:tcPr>
            <w:tcW w:type="dxa" w:w="226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  <w:tc>
          <w:tcPr>
            <w:tcW w:type="dxa" w:w="45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</w:tr>
      <w:tr>
        <w:tc>
          <w:tcPr>
            <w:tcW w:type="dxa" w:w="28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  <w:tc>
          <w:tcPr>
            <w:tcW w:type="dxa" w:w="2268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  <w:tc>
          <w:tcPr>
            <w:tcW w:type="dxa" w:w="4535"/>
            <w:tcBorders>
              <w:top w:val="single" w:color="D9DDE2" w:sz="1"/>
              <w:left w:val="single" w:color="D9DDE2" w:sz="1"/>
              <w:bottom w:val="single" w:color="D9DDE2" w:sz="1"/>
              <w:right w:val="single" w:color="D9DDE2" w:sz="1"/>
            </w:tcBorders>
            <w:shd w:fill="F2F4F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pBdr>
                <w:bottom w:val="single" w:color="D9DDE2" w:sz="4"/>
              </w:pBd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A2B3C"/>
                <w:sz w:val="26"/>
                <w:szCs w:val="26"/>
              </w:rPr>
              <w:t xml:space="preserve"> </w:t>
            </w:r>
          </w:p>
        </w:tc>
      </w:tr>
    </w:tbl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A2B3C"/>
          <w:sz w:val="20"/>
          <w:szCs w:val="20"/>
        </w:rPr>
        <w:t xml:space="preserve"/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DE2" w:sz="4"/>
      </w:pBdr>
      <w:tabs>
        <w:tab w:val="right" w:pos="9026"/>
      </w:tabs>
      <w:spacing w:after="0" w:before="80"/>
    </w:pPr>
    <w:r>
      <w:rPr>
        <w:rFonts w:ascii="Arial" w:cs="Arial" w:eastAsia="Arial" w:hAnsi="Arial"/>
        <w:color w:val="4A6070"/>
        <w:sz w:val="15"/>
        <w:szCs w:val="15"/>
      </w:rPr>
      <w:t xml:space="preserve">COMMERCIAL — IN CONFIDENCE</w:t>
    </w:r>
    <w:r>
      <w:rPr>
        <w:rFonts w:ascii="Arial" w:cs="Arial" w:eastAsia="Arial" w:hAnsi="Arial"/>
        <w:color w:val="4A6070"/>
        <w:sz w:val="15"/>
        <w:szCs w:val="15"/>
      </w:rPr>
      <w:t xml:space="preserve">	Page </w:t>
    </w:r>
    <w:r>
      <w:rPr>
        <w:rFonts w:ascii="Arial" w:cs="Arial" w:eastAsia="Arial" w:hAnsi="Arial"/>
        <w:color w:val="4A6070"/>
        <w:sz w:val="15"/>
        <w:szCs w:val="15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8A96E" w:sz="6"/>
      </w:pBdr>
      <w:tabs>
        <w:tab w:val="right" w:pos="9026"/>
      </w:tabs>
      <w:spacing w:after="100" w:before="0"/>
    </w:pPr>
    <w:r>
      <w:rPr>
        <w:rFonts w:ascii="Arial" w:cs="Arial" w:eastAsia="Arial" w:hAnsi="Arial"/>
        <w:b/>
        <w:bCs/>
        <w:color w:val="0D1B2A"/>
        <w:sz w:val="16"/>
        <w:szCs w:val="16"/>
      </w:rPr>
      <w:t xml:space="preserve">AI-Supported Black Hat — Competitive Review Tool</w:t>
    </w:r>
    <w:r>
      <w:rPr>
        <w:rFonts w:ascii="Arial" w:cs="Arial" w:eastAsia="Arial" w:hAnsi="Arial"/>
        <w:color w:val="4A6070"/>
        <w:sz w:val="15"/>
        <w:szCs w:val="15"/>
      </w:rPr>
      <w:t xml:space="preserve">	Stage 3 of 4  |  v0.1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2026-04-24T12:20:21.319Z</dcterms:created>
  <dcterms:modified xsi:type="dcterms:W3CDTF">2026-04-24T12:20:21.319Z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